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firstRow="1" w:lastRow="0" w:firstColumn="1" w:lastColumn="0" w:noHBand="0" w:noVBand="1"/>
      </w:tblPr>
      <w:tblGrid>
        <w:gridCol w:w="1664"/>
        <w:gridCol w:w="1746"/>
        <w:gridCol w:w="4420"/>
        <w:gridCol w:w="1813"/>
      </w:tblGrid>
      <w:tr w:rsidR="00D954E9" w14:paraId="69E78E12" w14:textId="77777777">
        <w:trPr>
          <w:trHeight w:val="195"/>
          <w:jc w:val="center"/>
        </w:trPr>
        <w:tc>
          <w:tcPr>
            <w:tcW w:w="3127" w:type="dxa"/>
            <w:gridSpan w:val="2"/>
            <w:vAlign w:val="center"/>
          </w:tcPr>
          <w:p w14:paraId="66474C3D" w14:textId="77777777" w:rsidR="00D954E9" w:rsidRDefault="00F91CE9">
            <w:pPr>
              <w:jc w:val="center"/>
              <w:rPr>
                <w:rFonts w:eastAsia="Times New Roman" w:cs="Calibri"/>
                <w:b/>
                <w:color w:val="000000"/>
                <w:sz w:val="32"/>
              </w:rPr>
            </w:pPr>
            <w:r>
              <w:rPr>
                <w:rFonts w:eastAsia="Times New Roman" w:cs="Calibri"/>
                <w:b/>
                <w:color w:val="000000"/>
                <w:sz w:val="32"/>
              </w:rPr>
              <w:t>Factores</w:t>
            </w:r>
          </w:p>
        </w:tc>
        <w:tc>
          <w:tcPr>
            <w:tcW w:w="4682" w:type="dxa"/>
            <w:vAlign w:val="center"/>
          </w:tcPr>
          <w:p w14:paraId="5844B07A" w14:textId="77777777" w:rsidR="00D954E9" w:rsidRDefault="00F91CE9">
            <w:pPr>
              <w:jc w:val="center"/>
              <w:rPr>
                <w:rFonts w:eastAsia="Times New Roman" w:cs="Calibri"/>
                <w:b/>
                <w:color w:val="000000"/>
                <w:sz w:val="32"/>
              </w:rPr>
            </w:pPr>
            <w:r>
              <w:rPr>
                <w:rFonts w:eastAsia="Times New Roman" w:cs="Calibri"/>
                <w:b/>
                <w:color w:val="000000"/>
                <w:sz w:val="32"/>
              </w:rPr>
              <w:t>Explicación</w:t>
            </w:r>
          </w:p>
        </w:tc>
        <w:tc>
          <w:tcPr>
            <w:tcW w:w="1834" w:type="dxa"/>
          </w:tcPr>
          <w:p w14:paraId="5E331CDF" w14:textId="77777777" w:rsidR="00D954E9" w:rsidRDefault="00F91CE9">
            <w:pPr>
              <w:jc w:val="center"/>
              <w:rPr>
                <w:rFonts w:cs="Calibri"/>
                <w:b/>
                <w:color w:val="000000"/>
                <w:sz w:val="32"/>
              </w:rPr>
            </w:pPr>
            <w:r>
              <w:rPr>
                <w:rFonts w:eastAsia="Times New Roman" w:cs="Calibri"/>
                <w:b/>
                <w:color w:val="000000"/>
                <w:sz w:val="32"/>
              </w:rPr>
              <w:t>Aclaración</w:t>
            </w:r>
          </w:p>
        </w:tc>
      </w:tr>
      <w:tr w:rsidR="00D954E9" w14:paraId="6D4EF9B7" w14:textId="77777777">
        <w:trPr>
          <w:trHeight w:val="885"/>
          <w:jc w:val="center"/>
        </w:trPr>
        <w:tc>
          <w:tcPr>
            <w:tcW w:w="1347" w:type="dxa"/>
            <w:vMerge w:val="restart"/>
            <w:vAlign w:val="center"/>
          </w:tcPr>
          <w:p w14:paraId="73423A6D" w14:textId="77777777" w:rsidR="00D954E9" w:rsidRDefault="00F91CE9">
            <w:pPr>
              <w:jc w:val="center"/>
              <w:rPr>
                <w:rFonts w:cs="Calibri"/>
                <w:b/>
              </w:rPr>
            </w:pPr>
            <w:r>
              <w:rPr>
                <w:rFonts w:cs="Calibri"/>
                <w:b/>
              </w:rPr>
              <w:t>Ubicación</w:t>
            </w:r>
          </w:p>
        </w:tc>
        <w:tc>
          <w:tcPr>
            <w:tcW w:w="1780" w:type="dxa"/>
            <w:vAlign w:val="center"/>
          </w:tcPr>
          <w:p w14:paraId="4EC86B65" w14:textId="0A73F74C" w:rsidR="00D954E9" w:rsidRDefault="00F91CE9">
            <w:pPr>
              <w:pStyle w:val="CCCMcontenttext"/>
              <w:jc w:val="center"/>
              <w:rPr>
                <w:rFonts w:ascii="Calibri" w:hAnsi="Calibri" w:cs="Calibri"/>
                <w:sz w:val="24"/>
              </w:rPr>
            </w:pPr>
            <w:r>
              <w:rPr>
                <w:rFonts w:ascii="Calibri" w:hAnsi="Calibri" w:cs="Calibri"/>
                <w:sz w:val="24"/>
              </w:rPr>
              <w:t>Seguridad</w:t>
            </w:r>
          </w:p>
        </w:tc>
        <w:tc>
          <w:tcPr>
            <w:tcW w:w="4682" w:type="dxa"/>
            <w:vAlign w:val="center"/>
          </w:tcPr>
          <w:p w14:paraId="79CCEF02" w14:textId="77777777" w:rsidR="00D954E9" w:rsidRDefault="00F91CE9">
            <w:pPr>
              <w:rPr>
                <w:rFonts w:cs="Calibri"/>
              </w:rPr>
            </w:pPr>
            <w:r>
              <w:rPr>
                <w:rFonts w:cs="Calibri"/>
              </w:rPr>
              <w:t xml:space="preserve">El campamento debe estar situado al menos a 50 km de cualquier frente de combate, frontera (en caso de conflicto), zona minada y otras zonas de riesgo. </w:t>
            </w:r>
          </w:p>
          <w:p w14:paraId="45FA2074" w14:textId="77777777" w:rsidR="00D954E9" w:rsidRDefault="00F91CE9">
            <w:pPr>
              <w:rPr>
                <w:rFonts w:cs="Calibri"/>
              </w:rPr>
            </w:pPr>
            <w:r>
              <w:rPr>
                <w:rFonts w:cs="Calibri"/>
              </w:rPr>
              <w:t>La proximidad respecto a la comunidad de acogida y las fuerzas de seguridad dependerá del tipo de relac</w:t>
            </w:r>
            <w:r>
              <w:rPr>
                <w:rFonts w:cs="Calibri"/>
              </w:rPr>
              <w:t xml:space="preserve">ión que se tenga con ellos y del contexto. </w:t>
            </w:r>
          </w:p>
        </w:tc>
        <w:tc>
          <w:tcPr>
            <w:tcW w:w="1834" w:type="dxa"/>
          </w:tcPr>
          <w:p w14:paraId="27BBDE61" w14:textId="77777777" w:rsidR="00D954E9" w:rsidRDefault="00F91CE9">
            <w:pPr>
              <w:rPr>
                <w:rFonts w:cs="Calibri"/>
              </w:rPr>
            </w:pPr>
            <w:r>
              <w:rPr>
                <w:rFonts w:cs="Calibri"/>
              </w:rPr>
              <w:t>Presencia de policías patrullando el lugar = seguridad o inseguridad, según el contexto</w:t>
            </w:r>
          </w:p>
        </w:tc>
      </w:tr>
      <w:tr w:rsidR="00D954E9" w14:paraId="6332C8FA" w14:textId="77777777">
        <w:trPr>
          <w:trHeight w:val="72"/>
          <w:jc w:val="center"/>
        </w:trPr>
        <w:tc>
          <w:tcPr>
            <w:tcW w:w="1347" w:type="dxa"/>
            <w:vMerge/>
            <w:vAlign w:val="center"/>
          </w:tcPr>
          <w:p w14:paraId="09CED074" w14:textId="77777777" w:rsidR="00D954E9" w:rsidRDefault="00D954E9">
            <w:pPr>
              <w:jc w:val="center"/>
              <w:rPr>
                <w:rFonts w:cs="Calibri"/>
                <w:b/>
              </w:rPr>
            </w:pPr>
          </w:p>
        </w:tc>
        <w:tc>
          <w:tcPr>
            <w:tcW w:w="1780" w:type="dxa"/>
            <w:vAlign w:val="center"/>
          </w:tcPr>
          <w:p w14:paraId="5E1FA610" w14:textId="1DE2E62B" w:rsidR="00D954E9" w:rsidRDefault="00F91CE9">
            <w:pPr>
              <w:jc w:val="center"/>
              <w:rPr>
                <w:rFonts w:cs="Calibri"/>
              </w:rPr>
            </w:pPr>
            <w:r>
              <w:rPr>
                <w:rFonts w:cs="Calibri"/>
              </w:rPr>
              <w:t>Acceso</w:t>
            </w:r>
          </w:p>
        </w:tc>
        <w:tc>
          <w:tcPr>
            <w:tcW w:w="4682" w:type="dxa"/>
            <w:vAlign w:val="center"/>
          </w:tcPr>
          <w:p w14:paraId="7F32AF4A" w14:textId="77777777" w:rsidR="00D954E9" w:rsidRDefault="00F91CE9">
            <w:pPr>
              <w:rPr>
                <w:rFonts w:cs="Calibri"/>
              </w:rPr>
            </w:pPr>
            <w:r>
              <w:rPr>
                <w:rFonts w:cs="Calibri"/>
              </w:rPr>
              <w:t>Se debe garantizar un acceso fácil en cualquier momento del año. De lo contrario, deberá haber capacidad para mejor</w:t>
            </w:r>
            <w:r>
              <w:rPr>
                <w:rFonts w:cs="Calibri"/>
              </w:rPr>
              <w:t>ar los accesos.</w:t>
            </w:r>
          </w:p>
        </w:tc>
        <w:tc>
          <w:tcPr>
            <w:tcW w:w="1834" w:type="dxa"/>
          </w:tcPr>
          <w:p w14:paraId="567BB745" w14:textId="77777777" w:rsidR="00D954E9" w:rsidRDefault="00F91CE9">
            <w:pPr>
              <w:rPr>
                <w:rFonts w:cs="Calibri"/>
              </w:rPr>
            </w:pPr>
            <w:r>
              <w:rPr>
                <w:rFonts w:cs="Calibri"/>
              </w:rPr>
              <w:t>Carretera de acceso al lugar = acceso físico</w:t>
            </w:r>
          </w:p>
        </w:tc>
      </w:tr>
      <w:tr w:rsidR="00D954E9" w14:paraId="6E2D5F7D" w14:textId="77777777">
        <w:trPr>
          <w:trHeight w:val="1565"/>
          <w:jc w:val="center"/>
        </w:trPr>
        <w:tc>
          <w:tcPr>
            <w:tcW w:w="1347" w:type="dxa"/>
            <w:vMerge/>
            <w:vAlign w:val="center"/>
          </w:tcPr>
          <w:p w14:paraId="2E5502C7" w14:textId="77777777" w:rsidR="00D954E9" w:rsidRDefault="00D954E9">
            <w:pPr>
              <w:jc w:val="center"/>
              <w:rPr>
                <w:rFonts w:cs="Calibri"/>
                <w:b/>
              </w:rPr>
            </w:pPr>
          </w:p>
        </w:tc>
        <w:tc>
          <w:tcPr>
            <w:tcW w:w="1780" w:type="dxa"/>
            <w:vAlign w:val="center"/>
          </w:tcPr>
          <w:p w14:paraId="0E584B9C" w14:textId="77777777" w:rsidR="00D954E9" w:rsidRDefault="00F91CE9">
            <w:pPr>
              <w:jc w:val="center"/>
              <w:rPr>
                <w:rFonts w:cs="Calibri"/>
              </w:rPr>
            </w:pPr>
            <w:r>
              <w:rPr>
                <w:rFonts w:cs="Calibri"/>
              </w:rPr>
              <w:t>Repercusión y riesgos sobre el medio ambiente</w:t>
            </w:r>
          </w:p>
        </w:tc>
        <w:tc>
          <w:tcPr>
            <w:tcW w:w="4682" w:type="dxa"/>
            <w:vAlign w:val="center"/>
          </w:tcPr>
          <w:p w14:paraId="6C5965CD" w14:textId="77777777" w:rsidR="00D954E9" w:rsidRDefault="00F91CE9">
            <w:pPr>
              <w:spacing w:before="120"/>
              <w:rPr>
                <w:rFonts w:cs="Calibri"/>
              </w:rPr>
            </w:pPr>
            <w:r>
              <w:rPr>
                <w:rFonts w:cs="Calibri"/>
              </w:rPr>
              <w:t xml:space="preserve">Los campamentos no deberían situarse en la cercanía de ecosistemas frágiles. Es necesario tener en cuenta que los residentes querrán tener acceso a medios de subsistencia y que recogerán madera o crearán áreas destinadas a la agricultura. </w:t>
            </w:r>
          </w:p>
          <w:p w14:paraId="3CA36A46" w14:textId="77777777" w:rsidR="00D954E9" w:rsidRDefault="00F91CE9">
            <w:pPr>
              <w:rPr>
                <w:rFonts w:cs="Calibri"/>
              </w:rPr>
            </w:pPr>
            <w:r>
              <w:rPr>
                <w:rFonts w:cs="Calibri"/>
              </w:rPr>
              <w:t>Si el espacio es</w:t>
            </w:r>
            <w:r>
              <w:rPr>
                <w:rFonts w:cs="Calibri"/>
              </w:rPr>
              <w:t xml:space="preserve"> escaso, es necesario plantearse si los espacios abiertos no podrían ser usados. ¿Está minado, expuesto a riesgos naturales, etc.? </w:t>
            </w:r>
          </w:p>
          <w:p w14:paraId="6430E28F" w14:textId="77777777" w:rsidR="00D954E9" w:rsidRDefault="00F91CE9">
            <w:pPr>
              <w:spacing w:after="120"/>
              <w:rPr>
                <w:rFonts w:cs="Calibri"/>
              </w:rPr>
            </w:pPr>
            <w:r>
              <w:rPr>
                <w:rFonts w:cs="Calibri"/>
              </w:rPr>
              <w:t>La instalación de un centro de desplazamiento generará vastas cantidades de residuos sólidos y líquidos. Esta cuestión tiene</w:t>
            </w:r>
            <w:r>
              <w:rPr>
                <w:rFonts w:cs="Calibri"/>
              </w:rPr>
              <w:t xml:space="preserve"> que ser tenida en cuenta para evitar la contaminación, sobre todo de la cuenca hidrográfica, y para evitar focos portadores de enfermedades.</w:t>
            </w:r>
          </w:p>
        </w:tc>
        <w:tc>
          <w:tcPr>
            <w:tcW w:w="1834" w:type="dxa"/>
          </w:tcPr>
          <w:p w14:paraId="42706DB4" w14:textId="76764C00" w:rsidR="00D954E9" w:rsidRDefault="00F91CE9">
            <w:pPr>
              <w:rPr>
                <w:rFonts w:cs="Calibri"/>
              </w:rPr>
            </w:pPr>
            <w:r>
              <w:rPr>
                <w:rFonts w:cs="Calibri"/>
              </w:rPr>
              <w:t>Mujeres talando árboles para conseguir leña = riesgo de deforestación, incendios e impacto ambiental</w:t>
            </w:r>
          </w:p>
        </w:tc>
      </w:tr>
      <w:tr w:rsidR="00D954E9" w14:paraId="30160D88" w14:textId="77777777">
        <w:trPr>
          <w:trHeight w:val="72"/>
          <w:jc w:val="center"/>
        </w:trPr>
        <w:tc>
          <w:tcPr>
            <w:tcW w:w="1347" w:type="dxa"/>
            <w:vMerge/>
            <w:vAlign w:val="center"/>
          </w:tcPr>
          <w:p w14:paraId="5DB53B17" w14:textId="77777777" w:rsidR="00D954E9" w:rsidRDefault="00D954E9">
            <w:pPr>
              <w:jc w:val="center"/>
              <w:rPr>
                <w:rFonts w:cs="Calibri"/>
                <w:b/>
              </w:rPr>
            </w:pPr>
          </w:p>
        </w:tc>
        <w:tc>
          <w:tcPr>
            <w:tcW w:w="1780" w:type="dxa"/>
            <w:vAlign w:val="center"/>
          </w:tcPr>
          <w:p w14:paraId="0CA8C4CA" w14:textId="24A4C502" w:rsidR="00D954E9" w:rsidRDefault="00F91CE9">
            <w:pPr>
              <w:jc w:val="center"/>
              <w:rPr>
                <w:rFonts w:cs="Calibri"/>
              </w:rPr>
            </w:pPr>
            <w:r>
              <w:rPr>
                <w:rFonts w:cs="Calibri"/>
              </w:rPr>
              <w:t>Riesgos ambientales</w:t>
            </w:r>
          </w:p>
        </w:tc>
        <w:tc>
          <w:tcPr>
            <w:tcW w:w="4682" w:type="dxa"/>
            <w:vAlign w:val="center"/>
          </w:tcPr>
          <w:p w14:paraId="41922E48" w14:textId="77777777" w:rsidR="00D954E9" w:rsidRDefault="00F91CE9">
            <w:pPr>
              <w:rPr>
                <w:rFonts w:cs="Calibri"/>
              </w:rPr>
            </w:pPr>
            <w:r>
              <w:rPr>
                <w:rFonts w:cs="Calibri"/>
              </w:rPr>
              <w:t xml:space="preserve">Se deben evitar los emplazamientos en áreas con riesgo de inundaciones, vientos fuertes, nevadas y otros riesgos ambientales. </w:t>
            </w:r>
          </w:p>
        </w:tc>
        <w:tc>
          <w:tcPr>
            <w:tcW w:w="1834" w:type="dxa"/>
          </w:tcPr>
          <w:p w14:paraId="20066324" w14:textId="77777777" w:rsidR="00D954E9" w:rsidRDefault="00F91CE9">
            <w:pPr>
              <w:rPr>
                <w:rFonts w:cs="Calibri"/>
              </w:rPr>
            </w:pPr>
            <w:r>
              <w:rPr>
                <w:rFonts w:cs="Calibri"/>
              </w:rPr>
              <w:t>Áreas propensas a las inundaciones = riesgos ambientales y transmisión de enfermedades</w:t>
            </w:r>
          </w:p>
        </w:tc>
      </w:tr>
      <w:tr w:rsidR="00D954E9" w14:paraId="6D8BAC2C" w14:textId="77777777">
        <w:trPr>
          <w:trHeight w:val="420"/>
          <w:jc w:val="center"/>
        </w:trPr>
        <w:tc>
          <w:tcPr>
            <w:tcW w:w="1347" w:type="dxa"/>
            <w:vMerge w:val="restart"/>
            <w:vAlign w:val="center"/>
          </w:tcPr>
          <w:p w14:paraId="5911EFC0" w14:textId="77777777" w:rsidR="00D954E9" w:rsidRDefault="00F91CE9">
            <w:pPr>
              <w:jc w:val="center"/>
              <w:rPr>
                <w:rFonts w:cs="Calibri"/>
                <w:b/>
              </w:rPr>
            </w:pPr>
            <w:r>
              <w:rPr>
                <w:rFonts w:cs="Calibri"/>
                <w:b/>
              </w:rPr>
              <w:t>Condiciones</w:t>
            </w:r>
          </w:p>
        </w:tc>
        <w:tc>
          <w:tcPr>
            <w:tcW w:w="1780" w:type="dxa"/>
            <w:vAlign w:val="center"/>
          </w:tcPr>
          <w:p w14:paraId="20276E52" w14:textId="602698D8" w:rsidR="00D954E9" w:rsidRDefault="00F91CE9">
            <w:pPr>
              <w:jc w:val="center"/>
              <w:rPr>
                <w:rFonts w:cs="Calibri"/>
              </w:rPr>
            </w:pPr>
            <w:r>
              <w:rPr>
                <w:rFonts w:cs="Calibri"/>
              </w:rPr>
              <w:t>Tamaño</w:t>
            </w:r>
          </w:p>
        </w:tc>
        <w:tc>
          <w:tcPr>
            <w:tcW w:w="4682" w:type="dxa"/>
            <w:vAlign w:val="center"/>
          </w:tcPr>
          <w:p w14:paraId="23C003E7" w14:textId="77777777" w:rsidR="00D954E9" w:rsidRDefault="00F91CE9">
            <w:pPr>
              <w:spacing w:before="120"/>
              <w:rPr>
                <w:rFonts w:cs="Calibri"/>
              </w:rPr>
            </w:pPr>
            <w:r>
              <w:rPr>
                <w:rFonts w:cs="Calibri"/>
              </w:rPr>
              <w:t xml:space="preserve">La población del campamento no debe ser superior a las 20 000 personas. El </w:t>
            </w:r>
            <w:r>
              <w:rPr>
                <w:rFonts w:cs="Calibri"/>
              </w:rPr>
              <w:lastRenderedPageBreak/>
              <w:t>crecimiento medio anual del campamento es del 3 % al 4 %.</w:t>
            </w:r>
          </w:p>
          <w:p w14:paraId="18626CAB" w14:textId="77777777" w:rsidR="00D954E9" w:rsidRDefault="00D954E9">
            <w:pPr>
              <w:rPr>
                <w:rFonts w:cs="Calibri"/>
              </w:rPr>
            </w:pPr>
          </w:p>
          <w:p w14:paraId="12EF94FF" w14:textId="77777777" w:rsidR="00D954E9" w:rsidRDefault="00F91CE9">
            <w:pPr>
              <w:rPr>
                <w:rFonts w:cs="Calibri"/>
              </w:rPr>
            </w:pPr>
            <w:r>
              <w:rPr>
                <w:rFonts w:cs="Calibri"/>
              </w:rPr>
              <w:t xml:space="preserve">En términos de tamaño, se pueden aplicar dos enfoques: </w:t>
            </w:r>
          </w:p>
          <w:p w14:paraId="0C33A8F2" w14:textId="23B284BF" w:rsidR="00D954E9" w:rsidRDefault="00F91CE9">
            <w:pPr>
              <w:numPr>
                <w:ilvl w:val="0"/>
                <w:numId w:val="15"/>
              </w:numPr>
              <w:contextualSpacing/>
              <w:rPr>
                <w:rFonts w:cs="Calibri"/>
              </w:rPr>
            </w:pPr>
            <w:r>
              <w:rPr>
                <w:rFonts w:cs="Calibri"/>
                <w:u w:val="single"/>
              </w:rPr>
              <w:t>Superficie total del campamento/ población:</w:t>
            </w:r>
            <w:r>
              <w:rPr>
                <w:rFonts w:cs="Calibri"/>
              </w:rPr>
              <w:t xml:space="preserve"> De acuerdo con las normas Esfera, el espacio mínimo requerido por persona es de 45 m2 incluyendo el tamaño general del campamento (carreteras, áreas de servicio, etc.). De acuerdo con las normas para emergencias del ACNUR, el mínimo sería 30 m2 por person</w:t>
            </w:r>
            <w:r>
              <w:rPr>
                <w:rFonts w:cs="Calibri"/>
              </w:rPr>
              <w:t>a, incluyendo espacios públicos.</w:t>
            </w:r>
            <w:r w:rsidR="0007184C">
              <w:rPr>
                <w:rFonts w:cs="Calibri"/>
              </w:rPr>
              <w:t xml:space="preserve"> </w:t>
            </w:r>
          </w:p>
          <w:p w14:paraId="34E50922" w14:textId="77777777" w:rsidR="00D954E9" w:rsidRDefault="00F91CE9">
            <w:pPr>
              <w:numPr>
                <w:ilvl w:val="0"/>
                <w:numId w:val="15"/>
              </w:numPr>
              <w:spacing w:before="200"/>
              <w:contextualSpacing/>
              <w:rPr>
                <w:rFonts w:cs="Calibri"/>
              </w:rPr>
            </w:pPr>
            <w:r>
              <w:rPr>
                <w:rFonts w:cs="Calibri"/>
                <w:u w:val="single"/>
              </w:rPr>
              <w:t xml:space="preserve">Tamaño por persona: </w:t>
            </w:r>
            <w:r>
              <w:rPr>
                <w:rFonts w:cs="Calibri"/>
              </w:rPr>
              <w:t>El espacio destinado a la vivienda en refugios de acogida debería ser 3,5 m2 por persona. Además, alrededor de un espacio familiar (3,5 m2 multiplicados por el número de miembros de la familia) deberí</w:t>
            </w:r>
            <w:r>
              <w:rPr>
                <w:rFonts w:cs="Calibri"/>
              </w:rPr>
              <w:t xml:space="preserve">a haber una distancia mínima de separación de dos metros respecto a la familia adyacente. </w:t>
            </w:r>
          </w:p>
        </w:tc>
        <w:tc>
          <w:tcPr>
            <w:tcW w:w="1834" w:type="dxa"/>
          </w:tcPr>
          <w:p w14:paraId="2D7F2CAD" w14:textId="77777777" w:rsidR="00D954E9" w:rsidRDefault="00F91CE9">
            <w:pPr>
              <w:rPr>
                <w:rFonts w:cs="Calibri"/>
              </w:rPr>
            </w:pPr>
            <w:r>
              <w:rPr>
                <w:rFonts w:cs="Calibri"/>
              </w:rPr>
              <w:lastRenderedPageBreak/>
              <w:t xml:space="preserve">Alta concentración de tiendas = </w:t>
            </w:r>
            <w:r>
              <w:rPr>
                <w:rFonts w:cs="Calibri"/>
              </w:rPr>
              <w:lastRenderedPageBreak/>
              <w:t>falta de cortafuegos e intimidad</w:t>
            </w:r>
          </w:p>
          <w:p w14:paraId="29EB2C21" w14:textId="77777777" w:rsidR="00D954E9" w:rsidRDefault="00D954E9">
            <w:pPr>
              <w:rPr>
                <w:rFonts w:cs="Calibri"/>
              </w:rPr>
            </w:pPr>
          </w:p>
          <w:p w14:paraId="6E8E5F3A" w14:textId="77777777" w:rsidR="00D954E9" w:rsidRDefault="00D954E9">
            <w:pPr>
              <w:rPr>
                <w:rFonts w:cs="Calibri"/>
              </w:rPr>
            </w:pPr>
          </w:p>
          <w:p w14:paraId="73CE62E6" w14:textId="77777777" w:rsidR="00D954E9" w:rsidRDefault="00D954E9">
            <w:pPr>
              <w:rPr>
                <w:rFonts w:cs="Calibri"/>
              </w:rPr>
            </w:pPr>
          </w:p>
          <w:p w14:paraId="6CB9DC5D" w14:textId="77777777" w:rsidR="00D954E9" w:rsidRDefault="00D954E9">
            <w:pPr>
              <w:rPr>
                <w:rFonts w:cs="Calibri"/>
              </w:rPr>
            </w:pPr>
          </w:p>
          <w:p w14:paraId="519C2030" w14:textId="16D01F3F" w:rsidR="00D954E9" w:rsidRDefault="00D954E9">
            <w:pPr>
              <w:rPr>
                <w:rFonts w:cs="Calibri"/>
              </w:rPr>
            </w:pPr>
          </w:p>
        </w:tc>
      </w:tr>
      <w:tr w:rsidR="00D954E9" w14:paraId="0848C420" w14:textId="77777777">
        <w:trPr>
          <w:trHeight w:val="72"/>
          <w:jc w:val="center"/>
        </w:trPr>
        <w:tc>
          <w:tcPr>
            <w:tcW w:w="1347" w:type="dxa"/>
            <w:vMerge/>
            <w:vAlign w:val="center"/>
          </w:tcPr>
          <w:p w14:paraId="225912EA" w14:textId="77777777" w:rsidR="00D954E9" w:rsidRDefault="00D954E9">
            <w:pPr>
              <w:jc w:val="center"/>
              <w:rPr>
                <w:rFonts w:cs="Calibri"/>
                <w:b/>
              </w:rPr>
            </w:pPr>
          </w:p>
        </w:tc>
        <w:tc>
          <w:tcPr>
            <w:tcW w:w="1780" w:type="dxa"/>
            <w:vAlign w:val="center"/>
          </w:tcPr>
          <w:p w14:paraId="4E376975" w14:textId="43C27C5F" w:rsidR="00D954E9" w:rsidRDefault="00F91CE9">
            <w:pPr>
              <w:jc w:val="center"/>
              <w:rPr>
                <w:rFonts w:cs="Calibri"/>
              </w:rPr>
            </w:pPr>
            <w:r>
              <w:rPr>
                <w:rFonts w:cs="Calibri"/>
              </w:rPr>
              <w:t>Geología y topografía</w:t>
            </w:r>
          </w:p>
        </w:tc>
        <w:tc>
          <w:tcPr>
            <w:tcW w:w="4682" w:type="dxa"/>
            <w:vAlign w:val="center"/>
          </w:tcPr>
          <w:p w14:paraId="3ED58E29" w14:textId="77777777" w:rsidR="00D954E9" w:rsidRDefault="00F91CE9">
            <w:pPr>
              <w:rPr>
                <w:rFonts w:cs="Calibri"/>
              </w:rPr>
            </w:pPr>
            <w:r>
              <w:rPr>
                <w:rFonts w:cs="Calibri"/>
              </w:rPr>
              <w:t>En condiciones ideales, sería preferible una pendiente de entre 2 % y 6 % para permitir un drenado natural y actividades agrícolas.</w:t>
            </w:r>
          </w:p>
          <w:p w14:paraId="21BBA0E0" w14:textId="77777777" w:rsidR="00D954E9" w:rsidRDefault="00F91CE9">
            <w:pPr>
              <w:rPr>
                <w:rFonts w:cs="Calibri"/>
              </w:rPr>
            </w:pPr>
            <w:r>
              <w:rPr>
                <w:rFonts w:cs="Calibri"/>
              </w:rPr>
              <w:t xml:space="preserve">También son preferibles los suelos que absorben el agua de la superficie. </w:t>
            </w:r>
          </w:p>
          <w:p w14:paraId="36176D05" w14:textId="77777777" w:rsidR="00D954E9" w:rsidRDefault="00F91CE9">
            <w:pPr>
              <w:rPr>
                <w:rFonts w:cs="Calibri"/>
              </w:rPr>
            </w:pPr>
            <w:r>
              <w:rPr>
                <w:rFonts w:cs="Calibri"/>
              </w:rPr>
              <w:t>Es importante verificar si el nivel freático es a</w:t>
            </w:r>
            <w:r>
              <w:rPr>
                <w:rFonts w:cs="Calibri"/>
              </w:rPr>
              <w:t>lto o bajo, ya que será un factor esencial en la efectividad y preparación de los sistemas sanitarios; un nivel menor de 3 m supone un problema.</w:t>
            </w:r>
          </w:p>
        </w:tc>
        <w:tc>
          <w:tcPr>
            <w:tcW w:w="1834" w:type="dxa"/>
          </w:tcPr>
          <w:p w14:paraId="332584AC" w14:textId="64E3BF70" w:rsidR="00D954E9" w:rsidRDefault="00F91CE9">
            <w:pPr>
              <w:rPr>
                <w:rFonts w:cs="Calibri"/>
              </w:rPr>
            </w:pPr>
            <w:r>
              <w:rPr>
                <w:rFonts w:cs="Calibri"/>
              </w:rPr>
              <w:t>Un suelo poco absorbente implica condiciones geológicas y topográficas deficientes</w:t>
            </w:r>
          </w:p>
          <w:p w14:paraId="3BBE22C5" w14:textId="41BAB7AF" w:rsidR="00D954E9" w:rsidRDefault="00D954E9">
            <w:pPr>
              <w:rPr>
                <w:rFonts w:cs="Calibri"/>
              </w:rPr>
            </w:pPr>
          </w:p>
        </w:tc>
      </w:tr>
      <w:tr w:rsidR="00D954E9" w14:paraId="0C712739" w14:textId="77777777">
        <w:trPr>
          <w:trHeight w:val="72"/>
          <w:jc w:val="center"/>
        </w:trPr>
        <w:tc>
          <w:tcPr>
            <w:tcW w:w="1347" w:type="dxa"/>
            <w:vMerge w:val="restart"/>
            <w:vAlign w:val="center"/>
          </w:tcPr>
          <w:p w14:paraId="6A98A9F5" w14:textId="77777777" w:rsidR="00D954E9" w:rsidRDefault="00F91CE9">
            <w:pPr>
              <w:jc w:val="center"/>
              <w:rPr>
                <w:rFonts w:cs="Calibri"/>
                <w:b/>
              </w:rPr>
            </w:pPr>
            <w:r>
              <w:rPr>
                <w:rFonts w:cs="Calibri"/>
                <w:b/>
              </w:rPr>
              <w:t>Disponibilidad de recursos</w:t>
            </w:r>
          </w:p>
        </w:tc>
        <w:tc>
          <w:tcPr>
            <w:tcW w:w="1780" w:type="dxa"/>
            <w:vAlign w:val="center"/>
          </w:tcPr>
          <w:p w14:paraId="7DBD0DE4" w14:textId="172A238D" w:rsidR="00D954E9" w:rsidRDefault="00F91CE9">
            <w:pPr>
              <w:jc w:val="center"/>
              <w:rPr>
                <w:rFonts w:cs="Calibri"/>
              </w:rPr>
            </w:pPr>
            <w:r>
              <w:rPr>
                <w:rFonts w:cs="Calibri"/>
              </w:rPr>
              <w:t xml:space="preserve">Agua, medios de subsistencia, leña y </w:t>
            </w:r>
            <w:r>
              <w:rPr>
                <w:rFonts w:cs="Calibri"/>
              </w:rPr>
              <w:lastRenderedPageBreak/>
              <w:t>materiales de construcción</w:t>
            </w:r>
          </w:p>
        </w:tc>
        <w:tc>
          <w:tcPr>
            <w:tcW w:w="4682" w:type="dxa"/>
            <w:vAlign w:val="center"/>
          </w:tcPr>
          <w:p w14:paraId="58CAE7A0" w14:textId="77777777" w:rsidR="00D954E9" w:rsidRDefault="00F91CE9">
            <w:pPr>
              <w:rPr>
                <w:rFonts w:cs="Calibri"/>
              </w:rPr>
            </w:pPr>
            <w:r>
              <w:rPr>
                <w:rFonts w:cs="Calibri"/>
              </w:rPr>
              <w:lastRenderedPageBreak/>
              <w:t xml:space="preserve">La disponibilidad de agua (en cantidades suficientes y durante todo el año) es uno de los principales factores que determinan la idoneidad de un sitio. </w:t>
            </w:r>
          </w:p>
          <w:p w14:paraId="7B24D271" w14:textId="77777777" w:rsidR="00D954E9" w:rsidRDefault="00F91CE9">
            <w:pPr>
              <w:rPr>
                <w:rFonts w:cs="Calibri"/>
              </w:rPr>
            </w:pPr>
            <w:r>
              <w:rPr>
                <w:rFonts w:cs="Calibri"/>
              </w:rPr>
              <w:lastRenderedPageBreak/>
              <w:t>Deberían des</w:t>
            </w:r>
            <w:r>
              <w:rPr>
                <w:rFonts w:cs="Calibri"/>
              </w:rPr>
              <w:t>tinarse áreas para la agricultura y la ganadería, de modo que se cree menor presión sobre el entorno.</w:t>
            </w:r>
          </w:p>
          <w:p w14:paraId="73776387" w14:textId="3929222B" w:rsidR="00D954E9" w:rsidRDefault="00F91CE9">
            <w:pPr>
              <w:rPr>
                <w:rFonts w:cs="Calibri"/>
              </w:rPr>
            </w:pPr>
            <w:r>
              <w:rPr>
                <w:rFonts w:cs="Calibri"/>
              </w:rPr>
              <w:t>También debería considerarse la disponibilidad de leña y de materiales de construcción tradicionales; en caso de que no los haya, se deberían planificar m</w:t>
            </w:r>
            <w:r>
              <w:rPr>
                <w:rFonts w:cs="Calibri"/>
              </w:rPr>
              <w:t>edidas de mitigación.</w:t>
            </w:r>
          </w:p>
        </w:tc>
        <w:tc>
          <w:tcPr>
            <w:tcW w:w="1834" w:type="dxa"/>
          </w:tcPr>
          <w:p w14:paraId="463222E3" w14:textId="77777777" w:rsidR="00D954E9" w:rsidRDefault="00F91CE9">
            <w:pPr>
              <w:rPr>
                <w:rFonts w:cs="Calibri"/>
              </w:rPr>
            </w:pPr>
            <w:r>
              <w:rPr>
                <w:rFonts w:cs="Calibri"/>
              </w:rPr>
              <w:lastRenderedPageBreak/>
              <w:t xml:space="preserve">Cercanía a un área boscosa = disponibilidad de leña y </w:t>
            </w:r>
            <w:r>
              <w:rPr>
                <w:rFonts w:cs="Calibri"/>
              </w:rPr>
              <w:lastRenderedPageBreak/>
              <w:t>recursos hídricos</w:t>
            </w:r>
          </w:p>
        </w:tc>
      </w:tr>
      <w:tr w:rsidR="00D954E9" w14:paraId="316A8D4C" w14:textId="77777777">
        <w:trPr>
          <w:trHeight w:val="72"/>
          <w:jc w:val="center"/>
        </w:trPr>
        <w:tc>
          <w:tcPr>
            <w:tcW w:w="1347" w:type="dxa"/>
            <w:vMerge/>
            <w:vAlign w:val="center"/>
          </w:tcPr>
          <w:p w14:paraId="6BFA777E" w14:textId="77777777" w:rsidR="00D954E9" w:rsidRDefault="00D954E9">
            <w:pPr>
              <w:jc w:val="center"/>
              <w:rPr>
                <w:rFonts w:cs="Calibri"/>
              </w:rPr>
            </w:pPr>
          </w:p>
        </w:tc>
        <w:tc>
          <w:tcPr>
            <w:tcW w:w="1780" w:type="dxa"/>
            <w:vAlign w:val="center"/>
          </w:tcPr>
          <w:p w14:paraId="02C7090D" w14:textId="46A2A64C" w:rsidR="00D954E9" w:rsidRDefault="00F91CE9">
            <w:pPr>
              <w:jc w:val="center"/>
              <w:rPr>
                <w:rFonts w:cs="Calibri"/>
              </w:rPr>
            </w:pPr>
            <w:r>
              <w:rPr>
                <w:rFonts w:cs="Calibri"/>
              </w:rPr>
              <w:t>Árboles y vegetación</w:t>
            </w:r>
          </w:p>
        </w:tc>
        <w:tc>
          <w:tcPr>
            <w:tcW w:w="4682" w:type="dxa"/>
            <w:vAlign w:val="center"/>
          </w:tcPr>
          <w:p w14:paraId="6FEDB81E" w14:textId="576EC200" w:rsidR="00D954E9" w:rsidRDefault="00F91CE9">
            <w:pPr>
              <w:rPr>
                <w:rFonts w:cs="Calibri"/>
              </w:rPr>
            </w:pPr>
            <w:r>
              <w:rPr>
                <w:rFonts w:cs="Calibri"/>
              </w:rPr>
              <w:t>Es importante preservar los árboles, la vegetación y la capa vegetal, para que proporcionen sombra y reduzcan la erosión del suelo, la humedad y el polvo.</w:t>
            </w:r>
          </w:p>
        </w:tc>
        <w:tc>
          <w:tcPr>
            <w:tcW w:w="1834" w:type="dxa"/>
          </w:tcPr>
          <w:p w14:paraId="0DBD4772" w14:textId="77777777" w:rsidR="00D954E9" w:rsidRDefault="00D954E9">
            <w:pPr>
              <w:rPr>
                <w:rFonts w:cs="Calibri"/>
              </w:rPr>
            </w:pPr>
          </w:p>
        </w:tc>
      </w:tr>
      <w:tr w:rsidR="00D954E9" w14:paraId="610DBF5D" w14:textId="77777777">
        <w:trPr>
          <w:trHeight w:val="72"/>
          <w:jc w:val="center"/>
        </w:trPr>
        <w:tc>
          <w:tcPr>
            <w:tcW w:w="3127" w:type="dxa"/>
            <w:gridSpan w:val="2"/>
            <w:vAlign w:val="center"/>
          </w:tcPr>
          <w:p w14:paraId="5FBB6EE1" w14:textId="77777777" w:rsidR="00D954E9" w:rsidRDefault="00F91CE9">
            <w:pPr>
              <w:jc w:val="center"/>
              <w:rPr>
                <w:rFonts w:cs="Calibri"/>
                <w:b/>
              </w:rPr>
            </w:pPr>
            <w:r>
              <w:rPr>
                <w:rFonts w:cs="Calibri"/>
                <w:b/>
              </w:rPr>
              <w:t>Aspectos culturales y sociales</w:t>
            </w:r>
          </w:p>
        </w:tc>
        <w:tc>
          <w:tcPr>
            <w:tcW w:w="4682" w:type="dxa"/>
            <w:vAlign w:val="center"/>
          </w:tcPr>
          <w:p w14:paraId="34999883" w14:textId="29F69B87" w:rsidR="00D954E9" w:rsidRDefault="00F91CE9">
            <w:pPr>
              <w:rPr>
                <w:rFonts w:cs="Calibri"/>
              </w:rPr>
            </w:pPr>
            <w:r>
              <w:rPr>
                <w:rFonts w:cs="Calibri"/>
              </w:rPr>
              <w:t xml:space="preserve">Tanto las comunidades desplazadas como las receptoras experimentan niveles elevados de desorientación y tensión. Es importante que tengan la oportunidad de ofrecer su opinión acerca de cómo hacer que el diseño del campamento se adapte lo más posible a sus </w:t>
            </w:r>
            <w:r>
              <w:rPr>
                <w:rFonts w:cs="Calibri"/>
              </w:rPr>
              <w:t>normas sociales y culturales.</w:t>
            </w:r>
            <w:r w:rsidR="0007184C">
              <w:rPr>
                <w:rFonts w:cs="Calibri"/>
              </w:rPr>
              <w:t xml:space="preserve"> </w:t>
            </w:r>
          </w:p>
        </w:tc>
        <w:tc>
          <w:tcPr>
            <w:tcW w:w="1834" w:type="dxa"/>
          </w:tcPr>
          <w:p w14:paraId="7FCD068D" w14:textId="77777777" w:rsidR="00D954E9" w:rsidRDefault="00D954E9">
            <w:pPr>
              <w:rPr>
                <w:rFonts w:cs="Calibri"/>
              </w:rPr>
            </w:pPr>
          </w:p>
          <w:p w14:paraId="037CAD37" w14:textId="1E4CB51E" w:rsidR="00D954E9" w:rsidRDefault="00D954E9">
            <w:pPr>
              <w:rPr>
                <w:rFonts w:cs="Calibri"/>
              </w:rPr>
            </w:pPr>
          </w:p>
        </w:tc>
      </w:tr>
      <w:tr w:rsidR="00D954E9" w14:paraId="152F289C" w14:textId="77777777">
        <w:trPr>
          <w:trHeight w:val="1185"/>
          <w:jc w:val="center"/>
        </w:trPr>
        <w:tc>
          <w:tcPr>
            <w:tcW w:w="3127" w:type="dxa"/>
            <w:gridSpan w:val="2"/>
            <w:vAlign w:val="center"/>
          </w:tcPr>
          <w:p w14:paraId="67734F50" w14:textId="77777777" w:rsidR="00D954E9" w:rsidRDefault="00F91CE9">
            <w:pPr>
              <w:jc w:val="center"/>
              <w:rPr>
                <w:rFonts w:cs="Calibri"/>
                <w:b/>
              </w:rPr>
            </w:pPr>
            <w:r>
              <w:rPr>
                <w:rFonts w:cs="Calibri"/>
                <w:b/>
              </w:rPr>
              <w:t>Disponibilidad de terrenos o edificios</w:t>
            </w:r>
          </w:p>
        </w:tc>
        <w:tc>
          <w:tcPr>
            <w:tcW w:w="4682" w:type="dxa"/>
            <w:vAlign w:val="center"/>
          </w:tcPr>
          <w:p w14:paraId="4DB6ABEB" w14:textId="77777777" w:rsidR="00D954E9" w:rsidRDefault="00F91CE9">
            <w:pPr>
              <w:rPr>
                <w:rFonts w:cs="Calibri"/>
              </w:rPr>
            </w:pPr>
            <w:r>
              <w:rPr>
                <w:rFonts w:cs="Calibri"/>
              </w:rPr>
              <w:t xml:space="preserve">Es importante que se aclare la titularidad del terreno y los derechos sobre el mismo, así como sobre cualquier edificio que exista en dicho lugar. Además de las discusiones con las autoridades locales y nacionales, un factor crucial es la participación de </w:t>
            </w:r>
            <w:r>
              <w:rPr>
                <w:rFonts w:cs="Calibri"/>
              </w:rPr>
              <w:t xml:space="preserve">las comunidades locales. Debería firmarse un memorándum de entendimiento en el que se aclaren las funciones y las responsabilidades de todas las partes partícipes en el establecimiento del campamento. También debería dejar en claro cuál será el uso de los </w:t>
            </w:r>
            <w:r>
              <w:rPr>
                <w:rFonts w:cs="Calibri"/>
              </w:rPr>
              <w:t xml:space="preserve">recursos naturales, la duración por la que se usarán los terrenos y una cláusula de renovación. </w:t>
            </w:r>
          </w:p>
        </w:tc>
        <w:tc>
          <w:tcPr>
            <w:tcW w:w="1834" w:type="dxa"/>
          </w:tcPr>
          <w:p w14:paraId="73EE39DF" w14:textId="77777777" w:rsidR="00D954E9" w:rsidRDefault="00F91CE9">
            <w:pPr>
              <w:rPr>
                <w:rFonts w:cs="Calibri"/>
              </w:rPr>
            </w:pPr>
            <w:r>
              <w:rPr>
                <w:rFonts w:cs="Calibri"/>
              </w:rPr>
              <w:t>Es posible ampliar los centros comunitarios y otros servicios humanitarios preexistentes</w:t>
            </w:r>
          </w:p>
        </w:tc>
      </w:tr>
      <w:tr w:rsidR="00D954E9" w14:paraId="39A731D3" w14:textId="77777777">
        <w:trPr>
          <w:trHeight w:val="1905"/>
          <w:jc w:val="center"/>
        </w:trPr>
        <w:tc>
          <w:tcPr>
            <w:tcW w:w="3127" w:type="dxa"/>
            <w:gridSpan w:val="2"/>
            <w:vAlign w:val="center"/>
          </w:tcPr>
          <w:p w14:paraId="4D35A13E" w14:textId="68D295C9" w:rsidR="00D954E9" w:rsidRDefault="00F91CE9">
            <w:pPr>
              <w:jc w:val="center"/>
              <w:rPr>
                <w:rFonts w:cs="Calibri"/>
                <w:b/>
              </w:rPr>
            </w:pPr>
            <w:r>
              <w:rPr>
                <w:rFonts w:cs="Calibri"/>
                <w:b/>
              </w:rPr>
              <w:t>Mitigación de la VdG</w:t>
            </w:r>
          </w:p>
        </w:tc>
        <w:tc>
          <w:tcPr>
            <w:tcW w:w="4682" w:type="dxa"/>
            <w:vAlign w:val="center"/>
          </w:tcPr>
          <w:p w14:paraId="1D77A6AF" w14:textId="77777777" w:rsidR="00D954E9" w:rsidRDefault="00F91CE9">
            <w:pPr>
              <w:rPr>
                <w:rFonts w:cs="Calibri"/>
              </w:rPr>
            </w:pPr>
            <w:r>
              <w:rPr>
                <w:rFonts w:cs="Calibri"/>
              </w:rPr>
              <w:t>En las evaluaciones de los emplazamientos deberían incluirse las amenazas reales o potenciales a la seguridad, así como los riesgos y las vulnerabilidades relacionadas con la edad, el sexo (incluida la VBG), la discapacidad, la situación social o económica</w:t>
            </w:r>
            <w:r>
              <w:rPr>
                <w:rFonts w:cs="Calibri"/>
              </w:rPr>
              <w:t xml:space="preserve">, la dependencia de las </w:t>
            </w:r>
            <w:r>
              <w:rPr>
                <w:rFonts w:cs="Calibri"/>
              </w:rPr>
              <w:lastRenderedPageBreak/>
              <w:t xml:space="preserve">poblaciones afectadas de los recursos ambientales naturales y las relaciones entre las poblaciones afectadas y cualquier comunidad anfitriona. </w:t>
            </w:r>
          </w:p>
          <w:p w14:paraId="12425547" w14:textId="77777777" w:rsidR="00D954E9" w:rsidRDefault="00D954E9">
            <w:pPr>
              <w:rPr>
                <w:rFonts w:cs="Calibri"/>
              </w:rPr>
            </w:pPr>
          </w:p>
          <w:p w14:paraId="15CE4622" w14:textId="77777777" w:rsidR="00D954E9" w:rsidRDefault="00F91CE9">
            <w:pPr>
              <w:rPr>
                <w:rFonts w:cs="Calibri"/>
              </w:rPr>
            </w:pPr>
            <w:r>
              <w:rPr>
                <w:rFonts w:cs="Calibri"/>
              </w:rPr>
              <w:t>Los campamentos bien diseñados y los entornos similares a los campamentos ayudan a redu</w:t>
            </w:r>
            <w:r>
              <w:rPr>
                <w:rFonts w:cs="Calibri"/>
              </w:rPr>
              <w:t xml:space="preserve">cir la exposición a la VBG, mejoran la igualdad de vida y garantizan la dignidad de la población afectada. </w:t>
            </w:r>
          </w:p>
        </w:tc>
        <w:tc>
          <w:tcPr>
            <w:tcW w:w="1834" w:type="dxa"/>
          </w:tcPr>
          <w:p w14:paraId="256548D1" w14:textId="2A55706B" w:rsidR="00D954E9" w:rsidRDefault="00D954E9">
            <w:pPr>
              <w:rPr>
                <w:rFonts w:cs="Calibri"/>
              </w:rPr>
            </w:pPr>
          </w:p>
        </w:tc>
      </w:tr>
    </w:tbl>
    <w:p w14:paraId="0C49BB68" w14:textId="531C9B46" w:rsidR="00D954E9" w:rsidRDefault="00D954E9">
      <w:pPr>
        <w:rPr>
          <w:rFonts w:cs="Calibri"/>
        </w:rPr>
      </w:pPr>
    </w:p>
    <w:sectPr w:rsidR="00D954E9">
      <w:footerReference w:type="default" r:id="rId11"/>
      <w:headerReference w:type="first" r:id="rId12"/>
      <w:footerReference w:type="first" r:id="rId13"/>
      <w:pgSz w:w="11906" w:h="16838" w:code="9"/>
      <w:pgMar w:top="2268" w:right="113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D4AA8" w14:textId="77777777" w:rsidR="00F91CE9" w:rsidRDefault="00F91CE9">
      <w:r>
        <w:separator/>
      </w:r>
    </w:p>
  </w:endnote>
  <w:endnote w:type="continuationSeparator" w:id="0">
    <w:p w14:paraId="5010E521" w14:textId="77777777" w:rsidR="00F91CE9" w:rsidRDefault="00F9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952DB" w14:textId="77777777" w:rsidR="00D954E9" w:rsidRDefault="00D954E9">
    <w:pPr>
      <w:pStyle w:val="Footer"/>
      <w:jc w:val="both"/>
      <w:rPr>
        <w:color w:val="2A87C8"/>
        <w:sz w:val="18"/>
      </w:rPr>
    </w:pPr>
  </w:p>
  <w:p w14:paraId="1560C938" w14:textId="45D60F71" w:rsidR="00D954E9" w:rsidRDefault="00F91CE9">
    <w:pPr>
      <w:pStyle w:val="Footer"/>
      <w:jc w:val="both"/>
      <w:rPr>
        <w:color w:val="2A87C8"/>
        <w:sz w:val="18"/>
      </w:rPr>
    </w:pPr>
    <w:r>
      <w:rPr>
        <w:color w:val="2A87C8"/>
        <w:sz w:val="18"/>
      </w:rPr>
      <w:t>Capacitación CCCM</w:t>
    </w:r>
    <w:r w:rsidR="0007184C">
      <w:rPr>
        <w:color w:val="2A87C8"/>
        <w:sz w:val="18"/>
      </w:rPr>
      <w:t xml:space="preserve"> </w:t>
    </w:r>
    <w:r>
      <w:rPr>
        <w:color w:val="2A87C8"/>
        <w:sz w:val="18"/>
      </w:rPr>
      <w:t>Anexo 11.2 – Hoja informativa sobre los factores de selección del sitio</w:t>
    </w:r>
    <w:r w:rsidR="0007184C">
      <w:rPr>
        <w:color w:val="2A87C8"/>
        <w:sz w:val="18"/>
      </w:rPr>
      <w:t xml:space="preserve"> </w:t>
    </w:r>
    <w:r>
      <w:rPr>
        <w:color w:val="2A87C8"/>
        <w:sz w:val="18"/>
      </w:rPr>
      <w:t>www.globalcccmcluster.co</w:t>
    </w:r>
    <w:r>
      <w:rPr>
        <w:color w:val="2A87C8"/>
        <w:sz w:val="18"/>
      </w:rPr>
      <w:t xml:space="preserve">m </w:t>
    </w:r>
  </w:p>
  <w:p w14:paraId="054BF862" w14:textId="25E4397A" w:rsidR="00D954E9" w:rsidRDefault="00F91CE9">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0007184C">
          <w:rPr>
            <w:color w:val="2A87C8"/>
            <w:sz w:val="18"/>
          </w:rPr>
          <w:t xml:space="preserve"> </w:t>
        </w:r>
        <w:r w:rsidR="00393024" w:rsidRPr="00A4798B">
          <w:rPr>
            <w:color w:val="000000" w:themeColor="text1"/>
            <w:sz w:val="22"/>
          </w:rPr>
          <w:fldChar w:fldCharType="begin"/>
        </w:r>
        <w:r w:rsidR="00393024" w:rsidRPr="00A4798B">
          <w:rPr>
            <w:color w:val="000000" w:themeColor="text1"/>
            <w:sz w:val="22"/>
          </w:rPr>
          <w:instrText xml:space="preserve"> PAGE   \* MERGEFORMAT </w:instrText>
        </w:r>
        <w:r w:rsidR="00393024" w:rsidRPr="00A4798B">
          <w:rPr>
            <w:color w:val="000000" w:themeColor="text1"/>
            <w:sz w:val="22"/>
          </w:rPr>
          <w:fldChar w:fldCharType="separate"/>
        </w:r>
        <w:r w:rsidR="006723AA">
          <w:rPr>
            <w:noProof/>
            <w:color w:val="000000" w:themeColor="text1"/>
            <w:sz w:val="22"/>
          </w:rPr>
          <w:t>4</w:t>
        </w:r>
        <w:r w:rsidR="00393024" w:rsidRPr="00A4798B">
          <w:rPr>
            <w:noProof/>
            <w:color w:val="000000" w:themeColor="text1"/>
            <w:sz w:val="22"/>
          </w:rPr>
          <w:fldChar w:fldCharType="end"/>
        </w:r>
      </w:sdtContent>
    </w:sdt>
  </w:p>
  <w:p w14:paraId="698CCC07" w14:textId="77777777" w:rsidR="00D954E9" w:rsidRDefault="00D954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BE922" w14:textId="77777777" w:rsidR="00D954E9" w:rsidRDefault="00D954E9">
    <w:pPr>
      <w:pStyle w:val="Footer"/>
      <w:jc w:val="both"/>
      <w:rPr>
        <w:color w:val="2A87C8"/>
        <w:sz w:val="18"/>
      </w:rPr>
    </w:pPr>
  </w:p>
  <w:p w14:paraId="55331427" w14:textId="6D96855D" w:rsidR="00D954E9" w:rsidRDefault="00F91CE9">
    <w:pPr>
      <w:pStyle w:val="Footer"/>
      <w:jc w:val="both"/>
      <w:rPr>
        <w:color w:val="2A87C8"/>
        <w:sz w:val="18"/>
      </w:rPr>
    </w:pPr>
    <w:r>
      <w:rPr>
        <w:color w:val="2A87C8"/>
        <w:sz w:val="18"/>
      </w:rPr>
      <w:t>Capacitación CCCM</w:t>
    </w:r>
    <w:r w:rsidR="0007184C">
      <w:rPr>
        <w:color w:val="2A87C8"/>
        <w:sz w:val="18"/>
      </w:rPr>
      <w:t xml:space="preserve"> </w:t>
    </w:r>
    <w:r>
      <w:rPr>
        <w:color w:val="2A87C8"/>
        <w:sz w:val="18"/>
      </w:rPr>
      <w:t>Anexo 11.2 – Hoja informativa sobre los factores de selección del sitio</w:t>
    </w:r>
    <w:r w:rsidR="0007184C">
      <w:rPr>
        <w:color w:val="2A87C8"/>
        <w:sz w:val="18"/>
      </w:rPr>
      <w:t xml:space="preserve"> </w:t>
    </w:r>
    <w:r>
      <w:rPr>
        <w:color w:val="2A87C8"/>
        <w:sz w:val="18"/>
      </w:rPr>
      <w:t xml:space="preserve">www.globalcccmcluster.com </w:t>
    </w:r>
  </w:p>
  <w:p w14:paraId="2398F569" w14:textId="38BFBBA5" w:rsidR="00D954E9" w:rsidRDefault="00F91CE9">
    <w:pPr>
      <w:pStyle w:val="Footer"/>
      <w:jc w:val="right"/>
      <w:rPr>
        <w:color w:val="000000" w:themeColor="text1"/>
        <w:sz w:val="22"/>
      </w:rPr>
    </w:pPr>
    <w:sdt>
      <w:sdtPr>
        <w:rPr>
          <w:color w:val="2A87C8"/>
          <w:sz w:val="18"/>
        </w:rPr>
        <w:id w:val="-1887015535"/>
        <w:docPartObj>
          <w:docPartGallery w:val="Page Numbers (Bottom of Page)"/>
          <w:docPartUnique/>
        </w:docPartObj>
      </w:sdtPr>
      <w:sdtEndPr>
        <w:rPr>
          <w:noProof/>
          <w:color w:val="000000" w:themeColor="text1"/>
          <w:sz w:val="22"/>
        </w:rPr>
      </w:sdtEndPr>
      <w:sdtContent>
        <w:r w:rsidR="0007184C">
          <w:rPr>
            <w:color w:val="2A87C8"/>
            <w:sz w:val="18"/>
          </w:rPr>
          <w:t xml:space="preserve"> </w:t>
        </w:r>
        <w:r w:rsidR="003640BA" w:rsidRPr="00A4798B">
          <w:rPr>
            <w:color w:val="000000" w:themeColor="text1"/>
            <w:sz w:val="22"/>
          </w:rPr>
          <w:fldChar w:fldCharType="begin"/>
        </w:r>
        <w:r w:rsidR="003640BA" w:rsidRPr="00A4798B">
          <w:rPr>
            <w:color w:val="000000" w:themeColor="text1"/>
            <w:sz w:val="22"/>
          </w:rPr>
          <w:instrText xml:space="preserve"> PAGE   \* MERGEFORMAT </w:instrText>
        </w:r>
        <w:r w:rsidR="003640BA" w:rsidRPr="00A4798B">
          <w:rPr>
            <w:color w:val="000000" w:themeColor="text1"/>
            <w:sz w:val="22"/>
          </w:rPr>
          <w:fldChar w:fldCharType="separate"/>
        </w:r>
        <w:r w:rsidR="003640BA">
          <w:rPr>
            <w:color w:val="000000" w:themeColor="text1"/>
            <w:sz w:val="22"/>
          </w:rPr>
          <w:t>2</w:t>
        </w:r>
        <w:r w:rsidR="003640BA" w:rsidRPr="00A4798B">
          <w:rPr>
            <w:noProof/>
            <w:color w:val="000000" w:themeColor="text1"/>
            <w:sz w:val="22"/>
          </w:rPr>
          <w:fldChar w:fldCharType="end"/>
        </w:r>
      </w:sdtContent>
    </w:sdt>
  </w:p>
  <w:p w14:paraId="6997E8FC" w14:textId="77777777" w:rsidR="00D954E9" w:rsidRDefault="00D95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9066C" w14:textId="77777777" w:rsidR="00F91CE9" w:rsidRDefault="00F91CE9">
      <w:r>
        <w:separator/>
      </w:r>
    </w:p>
  </w:footnote>
  <w:footnote w:type="continuationSeparator" w:id="0">
    <w:p w14:paraId="179F8ED1" w14:textId="77777777" w:rsidR="00F91CE9" w:rsidRDefault="00F91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DBF69" w14:textId="6A637572" w:rsidR="00D954E9" w:rsidRDefault="00F91CE9">
    <w:pPr>
      <w:spacing w:line="276" w:lineRule="auto"/>
      <w:rPr>
        <w:rFonts w:asciiTheme="minorHAnsi" w:hAnsiTheme="minorHAnsi" w:cs="Calibri"/>
        <w:b/>
        <w:color w:val="2A87C8"/>
        <w:sz w:val="36"/>
      </w:rPr>
    </w:pPr>
    <w:r>
      <w:rPr>
        <w:rFonts w:ascii="Cambria" w:hAnsi="Cambria"/>
        <w:noProof/>
        <w:color w:val="2A87C8"/>
        <w:sz w:val="32"/>
      </w:rPr>
      <w:drawing>
        <wp:anchor distT="0" distB="0" distL="114300" distR="114300" simplePos="0" relativeHeight="251659264" behindDoc="1" locked="0" layoutInCell="1" allowOverlap="1" wp14:anchorId="77E4F7DB" wp14:editId="20BCAEAB">
          <wp:simplePos x="0" y="0"/>
          <wp:positionH relativeFrom="page">
            <wp:posOffset>913765</wp:posOffset>
          </wp:positionH>
          <wp:positionV relativeFrom="page">
            <wp:posOffset>365760</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2" name="Picture 2"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Calibri"/>
        <w:b/>
        <w:color w:val="2A87C8"/>
        <w:sz w:val="36"/>
      </w:rPr>
      <w:t xml:space="preserve">FACTORES DE SELECCIÓN DEL SITIO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Calibri Light" w:hint="default"/>
      </w:rPr>
    </w:lvl>
    <w:lvl w:ilvl="1">
      <w:start w:val="1"/>
      <w:numFmt w:val="bullet"/>
      <w:lvlText w:val=""/>
      <w:lvlJc w:val="left"/>
      <w:pPr>
        <w:tabs>
          <w:tab w:val="num" w:pos="720"/>
        </w:tabs>
        <w:ind w:left="1080" w:hanging="360"/>
      </w:pPr>
      <w:rPr>
        <w:rFonts w:ascii="Symbol" w:hAnsi="Symbol" w:cs="Calibri Light"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cs="Wingdings 2" w:hint="default"/>
      </w:rPr>
    </w:lvl>
    <w:lvl w:ilvl="4">
      <w:start w:val="1"/>
      <w:numFmt w:val="bullet"/>
      <w:lvlText w:val=""/>
      <w:lvlJc w:val="left"/>
      <w:pPr>
        <w:tabs>
          <w:tab w:val="num" w:pos="2880"/>
        </w:tabs>
        <w:ind w:left="3240" w:hanging="360"/>
      </w:pPr>
      <w:rPr>
        <w:rFonts w:ascii="Wingdings" w:hAnsi="Wingdings" w:cs="Wingdings 2" w:hint="default"/>
      </w:rPr>
    </w:lvl>
    <w:lvl w:ilvl="5">
      <w:start w:val="1"/>
      <w:numFmt w:val="bullet"/>
      <w:lvlText w:val=""/>
      <w:lvlJc w:val="left"/>
      <w:pPr>
        <w:tabs>
          <w:tab w:val="num" w:pos="3600"/>
        </w:tabs>
        <w:ind w:left="3960" w:hanging="360"/>
      </w:pPr>
      <w:rPr>
        <w:rFonts w:ascii="Symbol" w:hAnsi="Symbol" w:cs="Calibri Light"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cs="Wingdings 2" w:hint="default"/>
      </w:rPr>
    </w:lvl>
    <w:lvl w:ilvl="8">
      <w:start w:val="1"/>
      <w:numFmt w:val="bullet"/>
      <w:lvlText w:val=""/>
      <w:lvlJc w:val="left"/>
      <w:pPr>
        <w:tabs>
          <w:tab w:val="num" w:pos="5760"/>
        </w:tabs>
        <w:ind w:left="6120" w:hanging="360"/>
      </w:pPr>
      <w:rPr>
        <w:rFonts w:ascii="Wingdings" w:hAnsi="Wingdings" w:cs="Wingdings 2"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360" w:hanging="360"/>
      </w:pPr>
      <w:rPr>
        <w:rFonts w:ascii="Wingdings 2" w:hAnsi="Wingdings 2" w:cs="Wingdings 2" w:hint="default"/>
        <w:color w:val="0077C0"/>
      </w:rPr>
    </w:lvl>
  </w:abstractNum>
  <w:abstractNum w:abstractNumId="3" w15:restartNumberingAfterBreak="0">
    <w:nsid w:val="0E227195"/>
    <w:multiLevelType w:val="hybridMultilevel"/>
    <w:tmpl w:val="781ADBEC"/>
    <w:lvl w:ilvl="0" w:tplc="08090001">
      <w:start w:val="1"/>
      <w:numFmt w:val="bullet"/>
      <w:pStyle w:val="CCCMbulletpoin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E76F9"/>
    <w:multiLevelType w:val="hybridMultilevel"/>
    <w:tmpl w:val="8E10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A3074"/>
    <w:multiLevelType w:val="hybridMultilevel"/>
    <w:tmpl w:val="0F3A75A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F47"/>
    <w:multiLevelType w:val="hybridMultilevel"/>
    <w:tmpl w:val="912CD0A4"/>
    <w:lvl w:ilvl="0" w:tplc="CEF411C8">
      <w:start w:val="3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420E2"/>
    <w:multiLevelType w:val="hybridMultilevel"/>
    <w:tmpl w:val="55A04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C758D6"/>
    <w:multiLevelType w:val="hybridMultilevel"/>
    <w:tmpl w:val="A328E60C"/>
    <w:lvl w:ilvl="0" w:tplc="0068FD7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CC5C92"/>
    <w:multiLevelType w:val="hybridMultilevel"/>
    <w:tmpl w:val="27B25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C532A6"/>
    <w:multiLevelType w:val="hybridMultilevel"/>
    <w:tmpl w:val="B1B0633E"/>
    <w:lvl w:ilvl="0" w:tplc="D4DEC394">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623459"/>
    <w:multiLevelType w:val="hybridMultilevel"/>
    <w:tmpl w:val="92845490"/>
    <w:lvl w:ilvl="0" w:tplc="1F126FBA">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4723E1"/>
    <w:multiLevelType w:val="hybridMultilevel"/>
    <w:tmpl w:val="596AC7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13CB7"/>
    <w:multiLevelType w:val="hybridMultilevel"/>
    <w:tmpl w:val="EE0830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5E520C"/>
    <w:multiLevelType w:val="hybridMultilevel"/>
    <w:tmpl w:val="9EFE1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3"/>
  </w:num>
  <w:num w:numId="6">
    <w:abstractNumId w:val="5"/>
  </w:num>
  <w:num w:numId="7">
    <w:abstractNumId w:val="14"/>
  </w:num>
  <w:num w:numId="8">
    <w:abstractNumId w:val="12"/>
  </w:num>
  <w:num w:numId="9">
    <w:abstractNumId w:val="9"/>
  </w:num>
  <w:num w:numId="10">
    <w:abstractNumId w:val="4"/>
  </w:num>
  <w:num w:numId="11">
    <w:abstractNumId w:val="11"/>
  </w:num>
  <w:num w:numId="12">
    <w:abstractNumId w:val="10"/>
  </w:num>
  <w:num w:numId="13">
    <w:abstractNumId w:val="1"/>
  </w:num>
  <w:num w:numId="14">
    <w:abstractNumId w:val="2"/>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15ECF"/>
    <w:rsid w:val="000205A5"/>
    <w:rsid w:val="00026F40"/>
    <w:rsid w:val="00034882"/>
    <w:rsid w:val="00047258"/>
    <w:rsid w:val="00067EF3"/>
    <w:rsid w:val="0007184C"/>
    <w:rsid w:val="00077DA8"/>
    <w:rsid w:val="0008364F"/>
    <w:rsid w:val="000C313F"/>
    <w:rsid w:val="000D1F2A"/>
    <w:rsid w:val="000E1AEE"/>
    <w:rsid w:val="000F6FDB"/>
    <w:rsid w:val="000F7CB2"/>
    <w:rsid w:val="00104DDE"/>
    <w:rsid w:val="00114B73"/>
    <w:rsid w:val="001176A0"/>
    <w:rsid w:val="00161920"/>
    <w:rsid w:val="00164797"/>
    <w:rsid w:val="00166C85"/>
    <w:rsid w:val="00190579"/>
    <w:rsid w:val="001A68DF"/>
    <w:rsid w:val="001B3B16"/>
    <w:rsid w:val="001E19F0"/>
    <w:rsid w:val="001F76F2"/>
    <w:rsid w:val="002204C5"/>
    <w:rsid w:val="0022271D"/>
    <w:rsid w:val="00240AE5"/>
    <w:rsid w:val="002735B9"/>
    <w:rsid w:val="002A0F52"/>
    <w:rsid w:val="002A403D"/>
    <w:rsid w:val="002A5A4D"/>
    <w:rsid w:val="002D6379"/>
    <w:rsid w:val="00322B0B"/>
    <w:rsid w:val="00331DC4"/>
    <w:rsid w:val="00344D67"/>
    <w:rsid w:val="003618E3"/>
    <w:rsid w:val="003640BA"/>
    <w:rsid w:val="00374E9C"/>
    <w:rsid w:val="00393024"/>
    <w:rsid w:val="003A0195"/>
    <w:rsid w:val="003E02E8"/>
    <w:rsid w:val="003F3C38"/>
    <w:rsid w:val="00411CBE"/>
    <w:rsid w:val="00416DD5"/>
    <w:rsid w:val="00425D94"/>
    <w:rsid w:val="00433B62"/>
    <w:rsid w:val="00452A07"/>
    <w:rsid w:val="00452C34"/>
    <w:rsid w:val="0046323F"/>
    <w:rsid w:val="004654F3"/>
    <w:rsid w:val="0047277B"/>
    <w:rsid w:val="004812FD"/>
    <w:rsid w:val="004B06F6"/>
    <w:rsid w:val="004C6C62"/>
    <w:rsid w:val="004E2175"/>
    <w:rsid w:val="004F5E1A"/>
    <w:rsid w:val="004F6C56"/>
    <w:rsid w:val="00501778"/>
    <w:rsid w:val="005070DD"/>
    <w:rsid w:val="00527A91"/>
    <w:rsid w:val="005329CF"/>
    <w:rsid w:val="00547A71"/>
    <w:rsid w:val="00550E1D"/>
    <w:rsid w:val="0055379C"/>
    <w:rsid w:val="00562311"/>
    <w:rsid w:val="00570750"/>
    <w:rsid w:val="00583689"/>
    <w:rsid w:val="00586252"/>
    <w:rsid w:val="005C0BAB"/>
    <w:rsid w:val="005C7391"/>
    <w:rsid w:val="005C769F"/>
    <w:rsid w:val="005E1BB4"/>
    <w:rsid w:val="005E6FE8"/>
    <w:rsid w:val="005E7FE3"/>
    <w:rsid w:val="005F4210"/>
    <w:rsid w:val="006023A4"/>
    <w:rsid w:val="00605036"/>
    <w:rsid w:val="00623E06"/>
    <w:rsid w:val="006404F8"/>
    <w:rsid w:val="00643768"/>
    <w:rsid w:val="00652DEF"/>
    <w:rsid w:val="00655F8A"/>
    <w:rsid w:val="006655D6"/>
    <w:rsid w:val="006723AA"/>
    <w:rsid w:val="006901BD"/>
    <w:rsid w:val="006953E7"/>
    <w:rsid w:val="00695427"/>
    <w:rsid w:val="006A3C76"/>
    <w:rsid w:val="006D2C35"/>
    <w:rsid w:val="00706CF9"/>
    <w:rsid w:val="00715744"/>
    <w:rsid w:val="007326ED"/>
    <w:rsid w:val="007627ED"/>
    <w:rsid w:val="0076576B"/>
    <w:rsid w:val="00785740"/>
    <w:rsid w:val="00785F42"/>
    <w:rsid w:val="0079181B"/>
    <w:rsid w:val="00791F58"/>
    <w:rsid w:val="007B64A5"/>
    <w:rsid w:val="007C4A00"/>
    <w:rsid w:val="007D1DB5"/>
    <w:rsid w:val="007E1D2F"/>
    <w:rsid w:val="007E440B"/>
    <w:rsid w:val="007E6981"/>
    <w:rsid w:val="007F708C"/>
    <w:rsid w:val="00830AA4"/>
    <w:rsid w:val="008525F6"/>
    <w:rsid w:val="008608D7"/>
    <w:rsid w:val="008706C6"/>
    <w:rsid w:val="00873C4F"/>
    <w:rsid w:val="00890B6F"/>
    <w:rsid w:val="008A070D"/>
    <w:rsid w:val="008D0965"/>
    <w:rsid w:val="008D5BC3"/>
    <w:rsid w:val="008D6277"/>
    <w:rsid w:val="008F5101"/>
    <w:rsid w:val="009070AC"/>
    <w:rsid w:val="00930CE0"/>
    <w:rsid w:val="00941F6C"/>
    <w:rsid w:val="00952C2B"/>
    <w:rsid w:val="00955D5F"/>
    <w:rsid w:val="00972290"/>
    <w:rsid w:val="009842D3"/>
    <w:rsid w:val="00995EF4"/>
    <w:rsid w:val="00996678"/>
    <w:rsid w:val="009B0354"/>
    <w:rsid w:val="00A16221"/>
    <w:rsid w:val="00A212B7"/>
    <w:rsid w:val="00A23C41"/>
    <w:rsid w:val="00A27C9C"/>
    <w:rsid w:val="00A33856"/>
    <w:rsid w:val="00A42CD9"/>
    <w:rsid w:val="00A4798B"/>
    <w:rsid w:val="00A54897"/>
    <w:rsid w:val="00A870EE"/>
    <w:rsid w:val="00AC3CDC"/>
    <w:rsid w:val="00B321DB"/>
    <w:rsid w:val="00B32C64"/>
    <w:rsid w:val="00B33FA1"/>
    <w:rsid w:val="00B351B3"/>
    <w:rsid w:val="00B64654"/>
    <w:rsid w:val="00B662EC"/>
    <w:rsid w:val="00B677DF"/>
    <w:rsid w:val="00BA23C5"/>
    <w:rsid w:val="00BC01F1"/>
    <w:rsid w:val="00BF02B7"/>
    <w:rsid w:val="00BF047D"/>
    <w:rsid w:val="00C16330"/>
    <w:rsid w:val="00C362B5"/>
    <w:rsid w:val="00C410E3"/>
    <w:rsid w:val="00C41269"/>
    <w:rsid w:val="00C47CFB"/>
    <w:rsid w:val="00C572A9"/>
    <w:rsid w:val="00C745B8"/>
    <w:rsid w:val="00C75289"/>
    <w:rsid w:val="00C914C1"/>
    <w:rsid w:val="00C96A2A"/>
    <w:rsid w:val="00CE1D41"/>
    <w:rsid w:val="00CF39AD"/>
    <w:rsid w:val="00CF44B9"/>
    <w:rsid w:val="00D127F3"/>
    <w:rsid w:val="00D864FA"/>
    <w:rsid w:val="00D907DA"/>
    <w:rsid w:val="00D930D7"/>
    <w:rsid w:val="00D954E9"/>
    <w:rsid w:val="00D95604"/>
    <w:rsid w:val="00DA0E17"/>
    <w:rsid w:val="00DA1642"/>
    <w:rsid w:val="00DA739F"/>
    <w:rsid w:val="00DD62B4"/>
    <w:rsid w:val="00DF33BF"/>
    <w:rsid w:val="00E14DD1"/>
    <w:rsid w:val="00E20E0F"/>
    <w:rsid w:val="00E33DDD"/>
    <w:rsid w:val="00E83019"/>
    <w:rsid w:val="00E91240"/>
    <w:rsid w:val="00EB6664"/>
    <w:rsid w:val="00EC0252"/>
    <w:rsid w:val="00EC045D"/>
    <w:rsid w:val="00ED3686"/>
    <w:rsid w:val="00F21C7C"/>
    <w:rsid w:val="00F35BC9"/>
    <w:rsid w:val="00F364BC"/>
    <w:rsid w:val="00F41532"/>
    <w:rsid w:val="00F44205"/>
    <w:rsid w:val="00F47C25"/>
    <w:rsid w:val="00F76EE1"/>
    <w:rsid w:val="00F80B39"/>
    <w:rsid w:val="00F91CE9"/>
    <w:rsid w:val="00FA7C4C"/>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E698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aliases w:val="Premier"/>
    <w:basedOn w:val="Normal"/>
    <w:link w:val="ListParagraphChar"/>
    <w:uiPriority w:val="34"/>
    <w:qFormat/>
    <w:rsid w:val="00583689"/>
    <w:pPr>
      <w:ind w:left="720"/>
      <w:contextualSpacing/>
    </w:pPr>
  </w:style>
  <w:style w:type="table" w:styleId="TableGrid">
    <w:name w:val="Table Grid"/>
    <w:basedOn w:val="TableNormal"/>
    <w:uiPriority w:val="39"/>
    <w:rsid w:val="007E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04DDE"/>
    <w:rPr>
      <w:color w:val="954F72" w:themeColor="followedHyperlink"/>
      <w:u w:val="single"/>
    </w:rPr>
  </w:style>
  <w:style w:type="paragraph" w:customStyle="1" w:styleId="CCCMcontentheading3">
    <w:name w:val="CCCM_content_heading3"/>
    <w:basedOn w:val="Heading3"/>
    <w:next w:val="Normal"/>
    <w:rsid w:val="007E6981"/>
    <w:pPr>
      <w:pBdr>
        <w:top w:val="none" w:sz="0" w:space="0" w:color="000000"/>
        <w:left w:val="none" w:sz="0" w:space="0" w:color="000000"/>
        <w:bottom w:val="single" w:sz="2" w:space="1" w:color="CCCCCC"/>
        <w:right w:val="none" w:sz="0" w:space="0" w:color="000000"/>
      </w:pBdr>
      <w:suppressAutoHyphens/>
      <w:spacing w:before="200" w:after="120"/>
    </w:pPr>
    <w:rPr>
      <w:rFonts w:ascii="Times New Roman" w:eastAsia="Times New Roman" w:hAnsi="Times New Roman" w:cs="Times New Roman"/>
      <w:color w:val="auto"/>
      <w:sz w:val="20"/>
      <w:szCs w:val="20"/>
    </w:rPr>
  </w:style>
  <w:style w:type="paragraph" w:customStyle="1" w:styleId="CCCMcontenttext">
    <w:name w:val="CCCM_content_text"/>
    <w:qFormat/>
    <w:rsid w:val="007E6981"/>
    <w:pPr>
      <w:suppressAutoHyphens/>
      <w:spacing w:after="100" w:line="240" w:lineRule="auto"/>
    </w:pPr>
    <w:rPr>
      <w:rFonts w:ascii="Times New Roman" w:eastAsia="Times New Roman" w:hAnsi="Times New Roman" w:cs="Times New Roman"/>
      <w:sz w:val="20"/>
      <w:szCs w:val="20"/>
    </w:rPr>
  </w:style>
  <w:style w:type="paragraph" w:customStyle="1" w:styleId="CCCMbulletpoint">
    <w:name w:val="CCCM_bullet_point"/>
    <w:rsid w:val="007E6981"/>
    <w:pPr>
      <w:numPr>
        <w:numId w:val="3"/>
      </w:numPr>
      <w:suppressAutoHyphens/>
      <w:spacing w:before="100" w:after="100"/>
      <w:contextualSpacing/>
    </w:pPr>
    <w:rPr>
      <w:rFonts w:ascii="Times New Roman" w:eastAsia="Times New Roman" w:hAnsi="Times New Roman" w:cs="Times New Roman"/>
      <w:sz w:val="20"/>
      <w:szCs w:val="20"/>
    </w:rPr>
  </w:style>
  <w:style w:type="paragraph" w:customStyle="1" w:styleId="Default">
    <w:name w:val="Default"/>
    <w:rsid w:val="007E6981"/>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ListParagraphChar">
    <w:name w:val="List Paragraph Char"/>
    <w:aliases w:val="Premier Char"/>
    <w:link w:val="ListParagraph"/>
    <w:uiPriority w:val="34"/>
    <w:rsid w:val="007E6981"/>
    <w:rPr>
      <w:rFonts w:ascii="Calibri" w:eastAsia="Calibri" w:hAnsi="Calibri" w:cs="Times New Roman"/>
      <w:sz w:val="24"/>
      <w:szCs w:val="24"/>
    </w:rPr>
  </w:style>
  <w:style w:type="character" w:customStyle="1" w:styleId="Heading3Char">
    <w:name w:val="Heading 3 Char"/>
    <w:basedOn w:val="DefaultParagraphFont"/>
    <w:link w:val="Heading3"/>
    <w:uiPriority w:val="9"/>
    <w:semiHidden/>
    <w:rsid w:val="007E6981"/>
    <w:rPr>
      <w:rFonts w:asciiTheme="majorHAnsi" w:eastAsiaTheme="majorEastAsia" w:hAnsiTheme="majorHAnsi" w:cstheme="majorBidi"/>
      <w:color w:val="1F4D78" w:themeColor="accent1" w:themeShade="7F"/>
      <w:sz w:val="24"/>
      <w:szCs w:val="24"/>
    </w:rPr>
  </w:style>
  <w:style w:type="table" w:styleId="MediumGrid1-Accent2">
    <w:name w:val="Medium Grid 1 Accent 2"/>
    <w:basedOn w:val="TableNormal"/>
    <w:uiPriority w:val="67"/>
    <w:semiHidden/>
    <w:unhideWhenUsed/>
    <w:rsid w:val="007E6981"/>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395985">
      <w:bodyDiv w:val="1"/>
      <w:marLeft w:val="0"/>
      <w:marRight w:val="0"/>
      <w:marTop w:val="0"/>
      <w:marBottom w:val="0"/>
      <w:divBdr>
        <w:top w:val="none" w:sz="0" w:space="0" w:color="auto"/>
        <w:left w:val="none" w:sz="0" w:space="0" w:color="auto"/>
        <w:bottom w:val="none" w:sz="0" w:space="0" w:color="auto"/>
        <w:right w:val="none" w:sz="0" w:space="0" w:color="auto"/>
      </w:divBdr>
      <w:divsChild>
        <w:div w:id="311914700">
          <w:marLeft w:val="547"/>
          <w:marRight w:val="0"/>
          <w:marTop w:val="134"/>
          <w:marBottom w:val="0"/>
          <w:divBdr>
            <w:top w:val="none" w:sz="0" w:space="0" w:color="auto"/>
            <w:left w:val="none" w:sz="0" w:space="0" w:color="auto"/>
            <w:bottom w:val="none" w:sz="0" w:space="0" w:color="auto"/>
            <w:right w:val="none" w:sz="0" w:space="0" w:color="auto"/>
          </w:divBdr>
        </w:div>
        <w:div w:id="1632250987">
          <w:marLeft w:val="547"/>
          <w:marRight w:val="0"/>
          <w:marTop w:val="134"/>
          <w:marBottom w:val="0"/>
          <w:divBdr>
            <w:top w:val="none" w:sz="0" w:space="0" w:color="auto"/>
            <w:left w:val="none" w:sz="0" w:space="0" w:color="auto"/>
            <w:bottom w:val="none" w:sz="0" w:space="0" w:color="auto"/>
            <w:right w:val="none" w:sz="0" w:space="0" w:color="auto"/>
          </w:divBdr>
        </w:div>
        <w:div w:id="1807695617">
          <w:marLeft w:val="547"/>
          <w:marRight w:val="0"/>
          <w:marTop w:val="134"/>
          <w:marBottom w:val="0"/>
          <w:divBdr>
            <w:top w:val="none" w:sz="0" w:space="0" w:color="auto"/>
            <w:left w:val="none" w:sz="0" w:space="0" w:color="auto"/>
            <w:bottom w:val="none" w:sz="0" w:space="0" w:color="auto"/>
            <w:right w:val="none" w:sz="0" w:space="0" w:color="auto"/>
          </w:divBdr>
        </w:div>
      </w:divsChild>
    </w:div>
    <w:div w:id="4559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2eb3475-e0f4-42fd-ab5c-abe08d673cdb">
      <UserInfo>
        <DisplayName/>
        <AccountId xsi:nil="true"/>
        <AccountType/>
      </UserInfo>
    </SharedWithUsers>
    <Comments xmlns="4d2685e0-3ec3-4526-a337-bc02c6b396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7A36D-B880-4E0B-8A77-89CF696407AE}">
  <ds:schemaRefs>
    <ds:schemaRef ds:uri="http://schemas.microsoft.com/office/2006/metadata/properties"/>
    <ds:schemaRef ds:uri="http://schemas.microsoft.com/office/infopath/2007/PartnerControls"/>
    <ds:schemaRef ds:uri="72eb3475-e0f4-42fd-ab5c-abe08d673cdb"/>
    <ds:schemaRef ds:uri="4d2685e0-3ec3-4526-a337-bc02c6b3961c"/>
  </ds:schemaRefs>
</ds:datastoreItem>
</file>

<file path=customXml/itemProps2.xml><?xml version="1.0" encoding="utf-8"?>
<ds:datastoreItem xmlns:ds="http://schemas.openxmlformats.org/officeDocument/2006/customXml" ds:itemID="{6549E485-13F1-4195-B3DB-692F9F4F9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4.xml><?xml version="1.0" encoding="utf-8"?>
<ds:datastoreItem xmlns:ds="http://schemas.openxmlformats.org/officeDocument/2006/customXml" ds:itemID="{8323A729-BF48-4A46-B908-E49EE2B5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Narges Rasouli</cp:lastModifiedBy>
  <cp:revision>4</cp:revision>
  <cp:lastPrinted>2018-09-13T11:16:00Z</cp:lastPrinted>
  <dcterms:created xsi:type="dcterms:W3CDTF">2019-01-21T16:09:00Z</dcterms:created>
  <dcterms:modified xsi:type="dcterms:W3CDTF">2020-09-23T19:59:00Z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Order">
    <vt:r8>586400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AuthorIds_UIVersion_512">
    <vt:lpwstr>35</vt:lpwstr>
  </property>
</Properties>
</file>